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1A8D" w14:textId="1B59521D" w:rsidR="000F4857" w:rsidRDefault="00AB475F" w:rsidP="000F4857">
      <w:pPr>
        <w:spacing w:after="0"/>
        <w:rPr>
          <w:b/>
          <w:bCs/>
        </w:rPr>
      </w:pPr>
      <w:r>
        <w:rPr>
          <w:b/>
          <w:bCs/>
        </w:rPr>
        <w:t>Family First Homecare</w:t>
      </w:r>
      <w:r w:rsidR="000F4857" w:rsidRPr="000F4857">
        <w:br/>
      </w:r>
      <w:r w:rsidR="000F4857" w:rsidRPr="000F4857">
        <w:rPr>
          <w:b/>
          <w:bCs/>
        </w:rPr>
        <w:t xml:space="preserve">Compliance with HIPAA </w:t>
      </w:r>
    </w:p>
    <w:p w14:paraId="7179D9F3" w14:textId="77777777" w:rsidR="000F4857" w:rsidRPr="000F4857" w:rsidRDefault="000F4857" w:rsidP="000F4857">
      <w:pPr>
        <w:spacing w:after="0"/>
      </w:pPr>
    </w:p>
    <w:p w14:paraId="46E0AFE2" w14:textId="3358C5E3" w:rsidR="000F4857" w:rsidRDefault="000F4857" w:rsidP="000F4857">
      <w:pPr>
        <w:spacing w:after="0"/>
      </w:pPr>
      <w:r w:rsidRPr="0019544C">
        <w:t xml:space="preserve">Effective Date: </w:t>
      </w:r>
      <w:r>
        <w:t>0</w:t>
      </w:r>
      <w:r w:rsidR="00AB475F">
        <w:t>6</w:t>
      </w:r>
      <w:r w:rsidRPr="0019544C">
        <w:t>/01/202</w:t>
      </w:r>
      <w:r w:rsidR="00AB475F">
        <w:t>5</w:t>
      </w:r>
      <w:r w:rsidRPr="0019544C">
        <w:br/>
        <w:t xml:space="preserve">Revision Date: </w:t>
      </w:r>
      <w:r>
        <w:t>_______________________________</w:t>
      </w:r>
      <w:r w:rsidRPr="0019544C">
        <w:br/>
        <w:t xml:space="preserve">Approved by: </w:t>
      </w:r>
      <w:r>
        <w:t>________________________________</w:t>
      </w:r>
    </w:p>
    <w:p w14:paraId="34C85C06" w14:textId="77777777" w:rsidR="000F4857" w:rsidRPr="0019544C" w:rsidRDefault="000F4857" w:rsidP="000F4857">
      <w:pPr>
        <w:spacing w:after="0"/>
      </w:pPr>
      <w:r>
        <w:t>Signature: ___________________________________</w:t>
      </w:r>
      <w:r w:rsidRPr="0019544C">
        <w:br/>
        <w:t>Applies to: All staff, contractors, and volunteers involved in participant care</w:t>
      </w:r>
    </w:p>
    <w:p w14:paraId="2DF16CBB" w14:textId="77777777" w:rsidR="000F4857" w:rsidRDefault="000F4857" w:rsidP="000F4857">
      <w:pPr>
        <w:spacing w:after="0"/>
        <w:rPr>
          <w:b/>
          <w:bCs/>
        </w:rPr>
      </w:pPr>
    </w:p>
    <w:p w14:paraId="62142466" w14:textId="5A55F052" w:rsidR="000F4857" w:rsidRPr="000F4857" w:rsidRDefault="000F4857" w:rsidP="000F4857">
      <w:pPr>
        <w:spacing w:after="0"/>
        <w:rPr>
          <w:b/>
          <w:bCs/>
          <w:u w:val="single"/>
        </w:rPr>
      </w:pPr>
      <w:r w:rsidRPr="000F4857">
        <w:rPr>
          <w:b/>
          <w:bCs/>
          <w:u w:val="single"/>
        </w:rPr>
        <w:t>Purpose</w:t>
      </w:r>
    </w:p>
    <w:p w14:paraId="39C54B46" w14:textId="77777777" w:rsidR="000F4857" w:rsidRPr="000F4857" w:rsidRDefault="000F4857" w:rsidP="000F4857">
      <w:pPr>
        <w:spacing w:after="0"/>
      </w:pPr>
      <w:r w:rsidRPr="000F4857">
        <w:t>The purpose of this policy is to establish guidelines for compliance with the Health Insurance Portability and Accountability Act (HIPAA) and applicable state laws. This policy ensures that Protected Health Information (PHI) is safeguarded, used, and disclosed appropriately to protect the privacy and security of participants.</w:t>
      </w:r>
    </w:p>
    <w:p w14:paraId="35D8E86A" w14:textId="77777777" w:rsidR="000F4857" w:rsidRDefault="000F4857" w:rsidP="000F4857">
      <w:pPr>
        <w:spacing w:after="0"/>
        <w:rPr>
          <w:b/>
          <w:bCs/>
        </w:rPr>
      </w:pPr>
    </w:p>
    <w:p w14:paraId="60E59DAF" w14:textId="2FD5BDA3" w:rsidR="000F4857" w:rsidRPr="000F4857" w:rsidRDefault="000F4857" w:rsidP="000F4857">
      <w:pPr>
        <w:spacing w:after="0"/>
        <w:rPr>
          <w:b/>
          <w:bCs/>
          <w:u w:val="single"/>
        </w:rPr>
      </w:pPr>
      <w:r w:rsidRPr="000F4857">
        <w:rPr>
          <w:b/>
          <w:bCs/>
          <w:u w:val="single"/>
        </w:rPr>
        <w:t>Scope</w:t>
      </w:r>
    </w:p>
    <w:p w14:paraId="63DF39EF" w14:textId="14E23287" w:rsidR="000F4857" w:rsidRPr="000F4857" w:rsidRDefault="000F4857" w:rsidP="000F4857">
      <w:pPr>
        <w:spacing w:after="0"/>
      </w:pPr>
      <w:r w:rsidRPr="000F4857">
        <w:t xml:space="preserve">This policy applies to all employees, contractors, volunteers, and any individuals handling PHI within </w:t>
      </w:r>
      <w:r w:rsidR="00AB475F">
        <w:t>Family First Homecare</w:t>
      </w:r>
      <w:r w:rsidRPr="000F4857">
        <w:t>. It covers the collection, use, disclosure, storage, and transmission of PHI.</w:t>
      </w:r>
    </w:p>
    <w:p w14:paraId="36C72D05" w14:textId="77777777" w:rsidR="000F4857" w:rsidRDefault="000F4857" w:rsidP="000F4857">
      <w:pPr>
        <w:spacing w:after="0"/>
        <w:rPr>
          <w:b/>
          <w:bCs/>
        </w:rPr>
      </w:pPr>
    </w:p>
    <w:p w14:paraId="05BE6D3B" w14:textId="5D58E7F3" w:rsidR="000F4857" w:rsidRPr="000F4857" w:rsidRDefault="000F4857" w:rsidP="000F4857">
      <w:pPr>
        <w:spacing w:after="0"/>
        <w:rPr>
          <w:b/>
          <w:bCs/>
          <w:u w:val="single"/>
        </w:rPr>
      </w:pPr>
      <w:r w:rsidRPr="000F4857">
        <w:rPr>
          <w:b/>
          <w:bCs/>
          <w:u w:val="single"/>
        </w:rPr>
        <w:t>Definitions</w:t>
      </w:r>
    </w:p>
    <w:p w14:paraId="75711705" w14:textId="77777777" w:rsidR="000F4857" w:rsidRPr="000F4857" w:rsidRDefault="000F4857" w:rsidP="000F4857">
      <w:pPr>
        <w:spacing w:after="0"/>
      </w:pPr>
      <w:r w:rsidRPr="000F4857">
        <w:rPr>
          <w:b/>
          <w:bCs/>
        </w:rPr>
        <w:t>Protected Health Information (PHI):</w:t>
      </w:r>
      <w:r w:rsidRPr="000F4857">
        <w:t xml:space="preserve"> Any individually identifiable health information transmitted or maintained in any form (electronic, paper, or oral).</w:t>
      </w:r>
    </w:p>
    <w:p w14:paraId="13B01C7E" w14:textId="77777777" w:rsidR="000F4857" w:rsidRDefault="000F4857" w:rsidP="000F4857">
      <w:pPr>
        <w:spacing w:after="0"/>
        <w:rPr>
          <w:b/>
          <w:bCs/>
        </w:rPr>
      </w:pPr>
    </w:p>
    <w:p w14:paraId="0E8D0990" w14:textId="1216E732" w:rsidR="000F4857" w:rsidRPr="000F4857" w:rsidRDefault="000F4857" w:rsidP="000F4857">
      <w:pPr>
        <w:spacing w:after="0"/>
      </w:pPr>
      <w:r w:rsidRPr="000F4857">
        <w:rPr>
          <w:b/>
          <w:bCs/>
        </w:rPr>
        <w:t>HIPAA Privacy Rule:</w:t>
      </w:r>
      <w:r w:rsidRPr="000F4857">
        <w:t xml:space="preserve"> Federal regulations that protect the privacy of PHI and establish individual rights over health information.</w:t>
      </w:r>
    </w:p>
    <w:p w14:paraId="060F49DD" w14:textId="77777777" w:rsidR="000F4857" w:rsidRDefault="000F4857" w:rsidP="000F4857">
      <w:pPr>
        <w:spacing w:after="0"/>
        <w:rPr>
          <w:b/>
          <w:bCs/>
        </w:rPr>
      </w:pPr>
    </w:p>
    <w:p w14:paraId="53B49EC5" w14:textId="6641D182" w:rsidR="000F4857" w:rsidRPr="000F4857" w:rsidRDefault="000F4857" w:rsidP="000F4857">
      <w:pPr>
        <w:spacing w:after="0"/>
      </w:pPr>
      <w:r w:rsidRPr="000F4857">
        <w:rPr>
          <w:b/>
          <w:bCs/>
        </w:rPr>
        <w:t>HIPAA Security Rule:</w:t>
      </w:r>
      <w:r w:rsidRPr="000F4857">
        <w:t xml:space="preserve"> Regulations ensuring the security of electronic PHI (ePHI) through administrative, physical, and technical safeguards.</w:t>
      </w:r>
    </w:p>
    <w:p w14:paraId="47DFFDDA" w14:textId="77777777" w:rsidR="000F4857" w:rsidRDefault="000F4857" w:rsidP="000F4857">
      <w:pPr>
        <w:spacing w:after="0"/>
        <w:rPr>
          <w:b/>
          <w:bCs/>
        </w:rPr>
      </w:pPr>
    </w:p>
    <w:p w14:paraId="533BD404" w14:textId="13914A67" w:rsidR="000F4857" w:rsidRPr="000F4857" w:rsidRDefault="000F4857" w:rsidP="000F4857">
      <w:pPr>
        <w:spacing w:after="0"/>
      </w:pPr>
      <w:r w:rsidRPr="000F4857">
        <w:rPr>
          <w:b/>
          <w:bCs/>
        </w:rPr>
        <w:t>Minimum Necessary Standard:</w:t>
      </w:r>
      <w:r w:rsidRPr="000F4857">
        <w:t xml:space="preserve"> The principle that access to PHI should be limited to only what is necessary for job duties.</w:t>
      </w:r>
    </w:p>
    <w:p w14:paraId="4A5593F4" w14:textId="77777777" w:rsidR="000F4857" w:rsidRDefault="000F4857" w:rsidP="000F4857">
      <w:pPr>
        <w:spacing w:after="0"/>
        <w:rPr>
          <w:b/>
          <w:bCs/>
        </w:rPr>
      </w:pPr>
    </w:p>
    <w:p w14:paraId="39417F3C" w14:textId="771A6304" w:rsidR="000F4857" w:rsidRPr="000F4857" w:rsidRDefault="000F4857" w:rsidP="000F4857">
      <w:pPr>
        <w:spacing w:after="0"/>
        <w:rPr>
          <w:b/>
          <w:bCs/>
          <w:u w:val="single"/>
        </w:rPr>
      </w:pPr>
      <w:r w:rsidRPr="000F4857">
        <w:rPr>
          <w:b/>
          <w:bCs/>
          <w:u w:val="single"/>
        </w:rPr>
        <w:t>HIPAA Compliance Requirements</w:t>
      </w:r>
    </w:p>
    <w:p w14:paraId="20BAFC36" w14:textId="3CB881B2" w:rsidR="000F4857" w:rsidRPr="000F4857" w:rsidRDefault="000F4857" w:rsidP="000F4857">
      <w:pPr>
        <w:spacing w:after="0"/>
        <w:rPr>
          <w:b/>
          <w:bCs/>
        </w:rPr>
      </w:pPr>
      <w:r w:rsidRPr="000F4857">
        <w:rPr>
          <w:b/>
          <w:bCs/>
        </w:rPr>
        <w:t>Privacy and Security of PHI</w:t>
      </w:r>
    </w:p>
    <w:p w14:paraId="406A6E2C" w14:textId="77777777" w:rsidR="000F4857" w:rsidRPr="000F4857" w:rsidRDefault="000F4857" w:rsidP="000F4857">
      <w:pPr>
        <w:spacing w:after="0"/>
      </w:pPr>
      <w:r w:rsidRPr="000F4857">
        <w:t>All PHI must be stored securely, and access must be limited to authorized personnel.</w:t>
      </w:r>
    </w:p>
    <w:p w14:paraId="773297C9" w14:textId="77777777" w:rsidR="000F4857" w:rsidRDefault="000F4857" w:rsidP="000F4857">
      <w:pPr>
        <w:spacing w:after="0"/>
      </w:pPr>
    </w:p>
    <w:p w14:paraId="785F5C1B" w14:textId="77777777" w:rsidR="000F4857" w:rsidRDefault="000F4857" w:rsidP="000F4857">
      <w:pPr>
        <w:spacing w:after="0"/>
      </w:pPr>
    </w:p>
    <w:p w14:paraId="4E115D8F" w14:textId="6AF5F25A" w:rsidR="000F4857" w:rsidRPr="000F4857" w:rsidRDefault="000F4857" w:rsidP="000F4857">
      <w:pPr>
        <w:spacing w:after="0"/>
      </w:pPr>
      <w:r w:rsidRPr="000F4857">
        <w:lastRenderedPageBreak/>
        <w:t>Employees must follow the “Minimum Necessary” standard when accessing or disclosing PHI.</w:t>
      </w:r>
    </w:p>
    <w:p w14:paraId="03B57527" w14:textId="77777777" w:rsidR="000F4857" w:rsidRDefault="000F4857" w:rsidP="000F4857">
      <w:pPr>
        <w:spacing w:after="0"/>
      </w:pPr>
    </w:p>
    <w:p w14:paraId="0B3F0D0C" w14:textId="7D5D69EC" w:rsidR="000F4857" w:rsidRPr="000F4857" w:rsidRDefault="000F4857" w:rsidP="000F4857">
      <w:pPr>
        <w:spacing w:after="0"/>
      </w:pPr>
      <w:r w:rsidRPr="000F4857">
        <w:t>PHI may not be accessed, used, or disclosed without proper authorization except as required by law.</w:t>
      </w:r>
    </w:p>
    <w:p w14:paraId="04CF2DC8" w14:textId="77777777" w:rsidR="000F4857" w:rsidRDefault="000F4857" w:rsidP="000F4857">
      <w:pPr>
        <w:spacing w:after="0"/>
        <w:rPr>
          <w:b/>
          <w:bCs/>
        </w:rPr>
      </w:pPr>
    </w:p>
    <w:p w14:paraId="0CE42D86" w14:textId="44E448F1" w:rsidR="000F4857" w:rsidRPr="000F4857" w:rsidRDefault="000F4857" w:rsidP="000F4857">
      <w:pPr>
        <w:spacing w:after="0"/>
        <w:rPr>
          <w:b/>
          <w:bCs/>
        </w:rPr>
      </w:pPr>
      <w:r w:rsidRPr="000F4857">
        <w:rPr>
          <w:b/>
          <w:bCs/>
        </w:rPr>
        <w:t>Permitted Uses and Disclosures of PHI</w:t>
      </w:r>
    </w:p>
    <w:p w14:paraId="28B32EF2" w14:textId="77777777" w:rsidR="000F4857" w:rsidRPr="000F4857" w:rsidRDefault="000F4857" w:rsidP="000F4857">
      <w:pPr>
        <w:spacing w:after="0"/>
      </w:pPr>
      <w:r w:rsidRPr="000F4857">
        <w:t>PHI may only be used or disclosed for:</w:t>
      </w:r>
    </w:p>
    <w:p w14:paraId="7D1CB567" w14:textId="77777777" w:rsidR="000F4857" w:rsidRPr="000F4857" w:rsidRDefault="000F4857" w:rsidP="000F4857">
      <w:pPr>
        <w:numPr>
          <w:ilvl w:val="0"/>
          <w:numId w:val="3"/>
        </w:numPr>
        <w:spacing w:after="0"/>
      </w:pPr>
      <w:r w:rsidRPr="000F4857">
        <w:t>Treatment, payment, or healthcare operations.</w:t>
      </w:r>
    </w:p>
    <w:p w14:paraId="51683929" w14:textId="77777777" w:rsidR="000F4857" w:rsidRPr="000F4857" w:rsidRDefault="000F4857" w:rsidP="000F4857">
      <w:pPr>
        <w:numPr>
          <w:ilvl w:val="0"/>
          <w:numId w:val="3"/>
        </w:numPr>
        <w:spacing w:after="0"/>
      </w:pPr>
      <w:r w:rsidRPr="000F4857">
        <w:t>Participant-authorized disclosures.</w:t>
      </w:r>
    </w:p>
    <w:p w14:paraId="2665C6C4" w14:textId="77777777" w:rsidR="000F4857" w:rsidRPr="000F4857" w:rsidRDefault="000F4857" w:rsidP="000F4857">
      <w:pPr>
        <w:numPr>
          <w:ilvl w:val="0"/>
          <w:numId w:val="3"/>
        </w:numPr>
        <w:spacing w:after="0"/>
      </w:pPr>
      <w:r w:rsidRPr="000F4857">
        <w:t>Required reporting to public health authorities.</w:t>
      </w:r>
    </w:p>
    <w:p w14:paraId="2987241F" w14:textId="77777777" w:rsidR="000F4857" w:rsidRPr="000F4857" w:rsidRDefault="000F4857" w:rsidP="000F4857">
      <w:pPr>
        <w:numPr>
          <w:ilvl w:val="0"/>
          <w:numId w:val="3"/>
        </w:numPr>
        <w:spacing w:after="0"/>
      </w:pPr>
      <w:r w:rsidRPr="000F4857">
        <w:t>Legal obligations, such as responding to subpoenas or law enforcement requests.</w:t>
      </w:r>
    </w:p>
    <w:p w14:paraId="72D3A29E" w14:textId="77777777" w:rsidR="000F4857" w:rsidRDefault="000F4857" w:rsidP="000F4857">
      <w:pPr>
        <w:spacing w:after="0"/>
        <w:rPr>
          <w:b/>
          <w:bCs/>
        </w:rPr>
      </w:pPr>
    </w:p>
    <w:p w14:paraId="408187B6" w14:textId="5A2FB22F" w:rsidR="000F4857" w:rsidRPr="000F4857" w:rsidRDefault="000F4857" w:rsidP="000F4857">
      <w:pPr>
        <w:spacing w:after="0"/>
        <w:rPr>
          <w:b/>
          <w:bCs/>
        </w:rPr>
      </w:pPr>
      <w:r w:rsidRPr="000F4857">
        <w:rPr>
          <w:b/>
          <w:bCs/>
        </w:rPr>
        <w:t>Confidentiality and Security Measures</w:t>
      </w:r>
    </w:p>
    <w:p w14:paraId="444031C6" w14:textId="77777777" w:rsidR="000F4857" w:rsidRPr="000F4857" w:rsidRDefault="000F4857" w:rsidP="000F4857">
      <w:pPr>
        <w:spacing w:after="0"/>
      </w:pPr>
      <w:r w:rsidRPr="000F4857">
        <w:rPr>
          <w:b/>
          <w:bCs/>
        </w:rPr>
        <w:t>Physical Safeguards:</w:t>
      </w:r>
      <w:r w:rsidRPr="000F4857">
        <w:t xml:space="preserve"> PHI in paper form must be kept in locked cabinets, and access is restricted.</w:t>
      </w:r>
    </w:p>
    <w:p w14:paraId="6063BA09" w14:textId="77777777" w:rsidR="000F4857" w:rsidRDefault="000F4857" w:rsidP="000F4857">
      <w:pPr>
        <w:spacing w:after="0"/>
        <w:rPr>
          <w:b/>
          <w:bCs/>
        </w:rPr>
      </w:pPr>
    </w:p>
    <w:p w14:paraId="6DC25EE8" w14:textId="6EFC4EB0" w:rsidR="000F4857" w:rsidRPr="000F4857" w:rsidRDefault="000F4857" w:rsidP="000F4857">
      <w:pPr>
        <w:spacing w:after="0"/>
      </w:pPr>
      <w:r w:rsidRPr="000F4857">
        <w:rPr>
          <w:b/>
          <w:bCs/>
        </w:rPr>
        <w:t>Technical Safeguards:</w:t>
      </w:r>
      <w:r w:rsidRPr="000F4857">
        <w:t xml:space="preserve"> ePHI must be secured with passwords, encryption, and access controls.</w:t>
      </w:r>
    </w:p>
    <w:p w14:paraId="20C38554" w14:textId="77777777" w:rsidR="000F4857" w:rsidRDefault="000F4857" w:rsidP="000F4857">
      <w:pPr>
        <w:spacing w:after="0"/>
        <w:rPr>
          <w:b/>
          <w:bCs/>
        </w:rPr>
      </w:pPr>
    </w:p>
    <w:p w14:paraId="54BFCC49" w14:textId="6CE4CE19" w:rsidR="000F4857" w:rsidRPr="000F4857" w:rsidRDefault="000F4857" w:rsidP="000F4857">
      <w:pPr>
        <w:spacing w:after="0"/>
      </w:pPr>
      <w:r w:rsidRPr="000F4857">
        <w:rPr>
          <w:b/>
          <w:bCs/>
        </w:rPr>
        <w:t>Administrative Safeguards:</w:t>
      </w:r>
      <w:r w:rsidRPr="000F4857">
        <w:t xml:space="preserve"> Regular HIPAA training and risk assessments will be conducted.</w:t>
      </w:r>
    </w:p>
    <w:p w14:paraId="24D8E042" w14:textId="77777777" w:rsidR="000F4857" w:rsidRDefault="000F4857" w:rsidP="000F4857">
      <w:pPr>
        <w:spacing w:after="0"/>
        <w:rPr>
          <w:b/>
          <w:bCs/>
        </w:rPr>
      </w:pPr>
    </w:p>
    <w:p w14:paraId="5D0CFCD6" w14:textId="3976FD1C" w:rsidR="000F4857" w:rsidRPr="000F4857" w:rsidRDefault="000F4857" w:rsidP="000F4857">
      <w:pPr>
        <w:spacing w:after="0"/>
        <w:rPr>
          <w:b/>
          <w:bCs/>
          <w:u w:val="single"/>
        </w:rPr>
      </w:pPr>
      <w:r w:rsidRPr="000F4857">
        <w:rPr>
          <w:b/>
          <w:bCs/>
          <w:u w:val="single"/>
        </w:rPr>
        <w:t>Reporting HIPAA Violations</w:t>
      </w:r>
    </w:p>
    <w:p w14:paraId="564C824B" w14:textId="77777777" w:rsidR="000F4857" w:rsidRPr="000F4857" w:rsidRDefault="000F4857" w:rsidP="000F4857">
      <w:pPr>
        <w:spacing w:after="0"/>
      </w:pPr>
      <w:r w:rsidRPr="000F4857">
        <w:t>All employees must report suspected HIPAA violations immediately to the Compliance Officer.</w:t>
      </w:r>
    </w:p>
    <w:p w14:paraId="7B1C8F83" w14:textId="77777777" w:rsidR="000F4857" w:rsidRDefault="000F4857" w:rsidP="000F4857">
      <w:pPr>
        <w:spacing w:after="0"/>
      </w:pPr>
    </w:p>
    <w:p w14:paraId="502F6E4E" w14:textId="2F200996" w:rsidR="000F4857" w:rsidRPr="000F4857" w:rsidRDefault="000F4857" w:rsidP="000F4857">
      <w:pPr>
        <w:spacing w:after="0"/>
      </w:pPr>
      <w:r w:rsidRPr="000F4857">
        <w:t>Reports should include details of the breach, individuals involved, and any known impact.</w:t>
      </w:r>
    </w:p>
    <w:p w14:paraId="3DDF8203" w14:textId="77777777" w:rsidR="000F4857" w:rsidRDefault="000F4857" w:rsidP="000F4857">
      <w:pPr>
        <w:spacing w:after="0"/>
      </w:pPr>
    </w:p>
    <w:p w14:paraId="46A7983A" w14:textId="11BA947F" w:rsidR="000F4857" w:rsidRPr="000F4857" w:rsidRDefault="000F4857" w:rsidP="000F4857">
      <w:pPr>
        <w:spacing w:after="0"/>
      </w:pPr>
      <w:r w:rsidRPr="000F4857">
        <w:t>Retaliation against employees reporting a violation in good faith is prohibited.</w:t>
      </w:r>
    </w:p>
    <w:p w14:paraId="6D7AC25B" w14:textId="77777777" w:rsidR="000F4857" w:rsidRDefault="000F4857" w:rsidP="000F4857">
      <w:pPr>
        <w:spacing w:after="0"/>
        <w:rPr>
          <w:b/>
          <w:bCs/>
        </w:rPr>
      </w:pPr>
    </w:p>
    <w:p w14:paraId="2687C682" w14:textId="5E5E94AE" w:rsidR="000F4857" w:rsidRPr="000F4857" w:rsidRDefault="000F4857" w:rsidP="000F4857">
      <w:pPr>
        <w:spacing w:after="0"/>
        <w:rPr>
          <w:b/>
          <w:bCs/>
          <w:u w:val="single"/>
        </w:rPr>
      </w:pPr>
      <w:r w:rsidRPr="000F4857">
        <w:rPr>
          <w:b/>
          <w:bCs/>
          <w:u w:val="single"/>
        </w:rPr>
        <w:t>HIPAA Training and Awareness</w:t>
      </w:r>
    </w:p>
    <w:p w14:paraId="41D7301C" w14:textId="77777777" w:rsidR="000F4857" w:rsidRPr="000F4857" w:rsidRDefault="000F4857" w:rsidP="000F4857">
      <w:pPr>
        <w:spacing w:after="0"/>
      </w:pPr>
      <w:r w:rsidRPr="000F4857">
        <w:t>All staff members will undergo HIPAA training upon hire and annually thereafter.</w:t>
      </w:r>
    </w:p>
    <w:p w14:paraId="4D6019A1" w14:textId="77777777" w:rsidR="000F4857" w:rsidRDefault="000F4857" w:rsidP="000F4857">
      <w:pPr>
        <w:spacing w:after="0"/>
      </w:pPr>
    </w:p>
    <w:p w14:paraId="775D7590" w14:textId="7AC41D8F" w:rsidR="000F4857" w:rsidRPr="000F4857" w:rsidRDefault="000F4857" w:rsidP="000F4857">
      <w:pPr>
        <w:spacing w:after="0"/>
      </w:pPr>
      <w:r>
        <w:t>E</w:t>
      </w:r>
      <w:r w:rsidRPr="000F4857">
        <w:t>mployees must complete a HIPAA compliance test as part of training.</w:t>
      </w:r>
    </w:p>
    <w:p w14:paraId="6504310D" w14:textId="77777777" w:rsidR="000F4857" w:rsidRDefault="000F4857" w:rsidP="000F4857">
      <w:pPr>
        <w:spacing w:after="0"/>
      </w:pPr>
    </w:p>
    <w:p w14:paraId="57741BE2" w14:textId="50AF029D" w:rsidR="000F4857" w:rsidRPr="000F4857" w:rsidRDefault="000F4857" w:rsidP="000F4857">
      <w:pPr>
        <w:spacing w:after="0"/>
      </w:pPr>
      <w:r w:rsidRPr="000F4857">
        <w:t>The agency will update training materials to reflect changes in HIPAA regulations.</w:t>
      </w:r>
    </w:p>
    <w:p w14:paraId="2EA91C94" w14:textId="77777777" w:rsidR="000F4857" w:rsidRDefault="000F4857" w:rsidP="000F4857">
      <w:pPr>
        <w:spacing w:after="0"/>
        <w:rPr>
          <w:b/>
          <w:bCs/>
        </w:rPr>
      </w:pPr>
    </w:p>
    <w:p w14:paraId="1C5E8FA3" w14:textId="357A44AB" w:rsidR="000F4857" w:rsidRPr="000F4857" w:rsidRDefault="000F4857" w:rsidP="000F4857">
      <w:pPr>
        <w:spacing w:after="0"/>
        <w:rPr>
          <w:b/>
          <w:bCs/>
        </w:rPr>
      </w:pPr>
      <w:r w:rsidRPr="000F4857">
        <w:rPr>
          <w:b/>
          <w:bCs/>
        </w:rPr>
        <w:t>HIPAA Breach Notification</w:t>
      </w:r>
    </w:p>
    <w:p w14:paraId="72B90E38" w14:textId="77777777" w:rsidR="000F4857" w:rsidRPr="000F4857" w:rsidRDefault="000F4857" w:rsidP="000F4857">
      <w:pPr>
        <w:spacing w:after="0"/>
      </w:pPr>
      <w:r w:rsidRPr="000F4857">
        <w:t>In case of an unauthorized disclosure of PHI, the agency will assess whether a breach has occurred.</w:t>
      </w:r>
    </w:p>
    <w:p w14:paraId="08524A64" w14:textId="77777777" w:rsidR="000F4857" w:rsidRDefault="000F4857" w:rsidP="000F4857">
      <w:pPr>
        <w:spacing w:after="0"/>
      </w:pPr>
    </w:p>
    <w:p w14:paraId="11EDA0EE" w14:textId="77777777" w:rsidR="000F4857" w:rsidRDefault="000F4857" w:rsidP="000F4857">
      <w:pPr>
        <w:spacing w:after="0"/>
      </w:pPr>
    </w:p>
    <w:p w14:paraId="4063686A" w14:textId="57FCA25D" w:rsidR="000F4857" w:rsidRPr="000F4857" w:rsidRDefault="000F4857" w:rsidP="000F4857">
      <w:pPr>
        <w:spacing w:after="0"/>
      </w:pPr>
      <w:r w:rsidRPr="000F4857">
        <w:t>If a breach occurs, affected individuals will be notified within 60 days.</w:t>
      </w:r>
    </w:p>
    <w:p w14:paraId="0DB04170" w14:textId="77777777" w:rsidR="000F4857" w:rsidRDefault="000F4857" w:rsidP="000F4857">
      <w:pPr>
        <w:spacing w:after="0"/>
      </w:pPr>
    </w:p>
    <w:p w14:paraId="40A97DE7" w14:textId="64438773" w:rsidR="000F4857" w:rsidRPr="000F4857" w:rsidRDefault="000F4857" w:rsidP="000F4857">
      <w:pPr>
        <w:spacing w:after="0"/>
      </w:pPr>
      <w:r w:rsidRPr="000F4857">
        <w:t>The agency will report significant breaches to the U.S. Department of Health and Human Services (HHS).</w:t>
      </w:r>
    </w:p>
    <w:p w14:paraId="358DFB0A" w14:textId="77777777" w:rsidR="000F4857" w:rsidRDefault="000F4857" w:rsidP="000F4857">
      <w:pPr>
        <w:spacing w:after="0"/>
        <w:rPr>
          <w:b/>
          <w:bCs/>
        </w:rPr>
      </w:pPr>
    </w:p>
    <w:p w14:paraId="414FE720" w14:textId="3DCB266D" w:rsidR="000F4857" w:rsidRPr="000F4857" w:rsidRDefault="000F4857" w:rsidP="000F4857">
      <w:pPr>
        <w:spacing w:after="0"/>
        <w:rPr>
          <w:b/>
          <w:bCs/>
          <w:u w:val="single"/>
        </w:rPr>
      </w:pPr>
      <w:r w:rsidRPr="000F4857">
        <w:rPr>
          <w:b/>
          <w:bCs/>
          <w:u w:val="single"/>
        </w:rPr>
        <w:t>Review and Revision</w:t>
      </w:r>
    </w:p>
    <w:p w14:paraId="31629928" w14:textId="77777777" w:rsidR="000F4857" w:rsidRPr="000F4857" w:rsidRDefault="000F4857" w:rsidP="000F4857">
      <w:pPr>
        <w:spacing w:after="0"/>
      </w:pPr>
      <w:r w:rsidRPr="000F4857">
        <w:t>This policy will be reviewed annually by the Compliance Team and updated as necessary to reflect changes in regulatory requirements or best practices.</w:t>
      </w:r>
    </w:p>
    <w:p w14:paraId="1E493BBB" w14:textId="77777777" w:rsidR="000F4857" w:rsidRDefault="000F4857" w:rsidP="000F4857">
      <w:pPr>
        <w:spacing w:after="0"/>
      </w:pPr>
    </w:p>
    <w:p w14:paraId="342EFD50" w14:textId="77777777" w:rsidR="000F4857" w:rsidRDefault="000F4857" w:rsidP="000F4857">
      <w:pPr>
        <w:spacing w:after="0"/>
      </w:pPr>
    </w:p>
    <w:sectPr w:rsidR="000F4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C7F"/>
    <w:multiLevelType w:val="multilevel"/>
    <w:tmpl w:val="4EC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D123C"/>
    <w:multiLevelType w:val="multilevel"/>
    <w:tmpl w:val="727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412D"/>
    <w:multiLevelType w:val="multilevel"/>
    <w:tmpl w:val="1C0C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96DCE"/>
    <w:multiLevelType w:val="multilevel"/>
    <w:tmpl w:val="AFC4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963A1"/>
    <w:multiLevelType w:val="multilevel"/>
    <w:tmpl w:val="D7D0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B419C"/>
    <w:multiLevelType w:val="multilevel"/>
    <w:tmpl w:val="7DD8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17D5F"/>
    <w:multiLevelType w:val="multilevel"/>
    <w:tmpl w:val="F15A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003686">
    <w:abstractNumId w:val="6"/>
  </w:num>
  <w:num w:numId="2" w16cid:durableId="1455442289">
    <w:abstractNumId w:val="2"/>
  </w:num>
  <w:num w:numId="3" w16cid:durableId="1860318014">
    <w:abstractNumId w:val="3"/>
  </w:num>
  <w:num w:numId="4" w16cid:durableId="1463381053">
    <w:abstractNumId w:val="1"/>
  </w:num>
  <w:num w:numId="5" w16cid:durableId="1264143120">
    <w:abstractNumId w:val="4"/>
  </w:num>
  <w:num w:numId="6" w16cid:durableId="1500273456">
    <w:abstractNumId w:val="5"/>
  </w:num>
  <w:num w:numId="7" w16cid:durableId="101988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57"/>
    <w:rsid w:val="000F4857"/>
    <w:rsid w:val="00397784"/>
    <w:rsid w:val="005C451F"/>
    <w:rsid w:val="00673039"/>
    <w:rsid w:val="008D60B4"/>
    <w:rsid w:val="00AB475F"/>
    <w:rsid w:val="00E418F8"/>
    <w:rsid w:val="00E5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8B39"/>
  <w15:chartTrackingRefBased/>
  <w15:docId w15:val="{6F7C6AD8-D99B-47DB-A775-F51D000F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8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8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8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8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8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8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857"/>
    <w:rPr>
      <w:rFonts w:eastAsiaTheme="majorEastAsia" w:cstheme="majorBidi"/>
      <w:color w:val="272727" w:themeColor="text1" w:themeTint="D8"/>
    </w:rPr>
  </w:style>
  <w:style w:type="paragraph" w:styleId="Title">
    <w:name w:val="Title"/>
    <w:basedOn w:val="Normal"/>
    <w:next w:val="Normal"/>
    <w:link w:val="TitleChar"/>
    <w:uiPriority w:val="10"/>
    <w:qFormat/>
    <w:rsid w:val="000F4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857"/>
    <w:pPr>
      <w:spacing w:before="160"/>
      <w:jc w:val="center"/>
    </w:pPr>
    <w:rPr>
      <w:i/>
      <w:iCs/>
      <w:color w:val="404040" w:themeColor="text1" w:themeTint="BF"/>
    </w:rPr>
  </w:style>
  <w:style w:type="character" w:customStyle="1" w:styleId="QuoteChar">
    <w:name w:val="Quote Char"/>
    <w:basedOn w:val="DefaultParagraphFont"/>
    <w:link w:val="Quote"/>
    <w:uiPriority w:val="29"/>
    <w:rsid w:val="000F4857"/>
    <w:rPr>
      <w:i/>
      <w:iCs/>
      <w:color w:val="404040" w:themeColor="text1" w:themeTint="BF"/>
    </w:rPr>
  </w:style>
  <w:style w:type="paragraph" w:styleId="ListParagraph">
    <w:name w:val="List Paragraph"/>
    <w:basedOn w:val="Normal"/>
    <w:uiPriority w:val="34"/>
    <w:qFormat/>
    <w:rsid w:val="000F4857"/>
    <w:pPr>
      <w:ind w:left="720"/>
      <w:contextualSpacing/>
    </w:pPr>
  </w:style>
  <w:style w:type="character" w:styleId="IntenseEmphasis">
    <w:name w:val="Intense Emphasis"/>
    <w:basedOn w:val="DefaultParagraphFont"/>
    <w:uiPriority w:val="21"/>
    <w:qFormat/>
    <w:rsid w:val="000F4857"/>
    <w:rPr>
      <w:i/>
      <w:iCs/>
      <w:color w:val="2F5496" w:themeColor="accent1" w:themeShade="BF"/>
    </w:rPr>
  </w:style>
  <w:style w:type="paragraph" w:styleId="IntenseQuote">
    <w:name w:val="Intense Quote"/>
    <w:basedOn w:val="Normal"/>
    <w:next w:val="Normal"/>
    <w:link w:val="IntenseQuoteChar"/>
    <w:uiPriority w:val="30"/>
    <w:qFormat/>
    <w:rsid w:val="000F4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857"/>
    <w:rPr>
      <w:i/>
      <w:iCs/>
      <w:color w:val="2F5496" w:themeColor="accent1" w:themeShade="BF"/>
    </w:rPr>
  </w:style>
  <w:style w:type="character" w:styleId="IntenseReference">
    <w:name w:val="Intense Reference"/>
    <w:basedOn w:val="DefaultParagraphFont"/>
    <w:uiPriority w:val="32"/>
    <w:qFormat/>
    <w:rsid w:val="000F48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2573">
      <w:bodyDiv w:val="1"/>
      <w:marLeft w:val="0"/>
      <w:marRight w:val="0"/>
      <w:marTop w:val="0"/>
      <w:marBottom w:val="0"/>
      <w:divBdr>
        <w:top w:val="none" w:sz="0" w:space="0" w:color="auto"/>
        <w:left w:val="none" w:sz="0" w:space="0" w:color="auto"/>
        <w:bottom w:val="none" w:sz="0" w:space="0" w:color="auto"/>
        <w:right w:val="none" w:sz="0" w:space="0" w:color="auto"/>
      </w:divBdr>
    </w:div>
    <w:div w:id="21138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2025-06-17T18:50:00Z</dcterms:created>
  <dcterms:modified xsi:type="dcterms:W3CDTF">2025-06-17T18:50:00Z</dcterms:modified>
</cp:coreProperties>
</file>